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CF6AA" w14:textId="77777777" w:rsidR="00C5224C" w:rsidRPr="00AC3197" w:rsidRDefault="00C5224C" w:rsidP="008614FF">
      <w:pPr>
        <w:pStyle w:val="Title"/>
        <w:jc w:val="right"/>
      </w:pPr>
      <w:bookmarkStart w:id="0" w:name="_GoBack"/>
      <w:bookmarkEnd w:id="0"/>
      <w:r w:rsidRPr="001D3EAD">
        <w:rPr>
          <w:noProof/>
          <w:lang w:eastAsia="en-GB"/>
        </w:rPr>
        <w:drawing>
          <wp:inline distT="0" distB="0" distL="0" distR="0" wp14:anchorId="7B66D4B9" wp14:editId="32FBAEA6">
            <wp:extent cx="693886" cy="928688"/>
            <wp:effectExtent l="0" t="0" r="0" b="5080"/>
            <wp:docPr id="1" name="Picture 1" descr="Oxford City Council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wman\Downloads\Blue JPEG Oxford City Council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69" cy="939641"/>
                    </a:xfrm>
                    <a:prstGeom prst="rect">
                      <a:avLst/>
                    </a:prstGeom>
                    <a:noFill/>
                    <a:ln>
                      <a:noFill/>
                    </a:ln>
                  </pic:spPr>
                </pic:pic>
              </a:graphicData>
            </a:graphic>
          </wp:inline>
        </w:drawing>
      </w:r>
    </w:p>
    <w:p w14:paraId="48DF5EEB" w14:textId="2A5F9131" w:rsidR="00C5224C" w:rsidRDefault="00C5224C" w:rsidP="00383710">
      <w:pPr>
        <w:pStyle w:val="Title"/>
        <w:spacing w:after="240"/>
      </w:pPr>
      <w:r>
        <w:t>People Team</w:t>
      </w:r>
    </w:p>
    <w:p w14:paraId="67CB4018" w14:textId="47B8C127" w:rsidR="00C5224C" w:rsidRPr="00650B62" w:rsidRDefault="00C5224C" w:rsidP="007E3A3E">
      <w:pPr>
        <w:pStyle w:val="Subtitle"/>
        <w:spacing w:before="0"/>
      </w:pPr>
      <w:r w:rsidRPr="00650B62">
        <w:t>Disciplinary</w:t>
      </w:r>
      <w:r w:rsidR="008745FE" w:rsidRPr="00650B62">
        <w:t xml:space="preserve"> Procedure</w:t>
      </w:r>
    </w:p>
    <w:p w14:paraId="694445C1" w14:textId="77777777" w:rsidR="004955A1" w:rsidRPr="00650B62" w:rsidRDefault="0047152E" w:rsidP="00383710">
      <w:pPr>
        <w:pStyle w:val="Heading1"/>
      </w:pPr>
      <w:r w:rsidRPr="00650B62">
        <w:t>Introduction</w:t>
      </w:r>
    </w:p>
    <w:p w14:paraId="7B34DF0B" w14:textId="15D6C857" w:rsidR="00A81674" w:rsidRPr="00650B62" w:rsidRDefault="00234DE3" w:rsidP="008614FF">
      <w:r w:rsidRPr="00650B62">
        <w:t>1.1</w:t>
      </w:r>
      <w:r w:rsidRPr="00650B62">
        <w:tab/>
      </w:r>
      <w:r w:rsidR="00A81674" w:rsidRPr="00650B62">
        <w:t xml:space="preserve">The purpose of the Disciplinary </w:t>
      </w:r>
      <w:r w:rsidR="008745FE" w:rsidRPr="00650B62">
        <w:t xml:space="preserve">Procedure </w:t>
      </w:r>
      <w:r w:rsidR="00A81674" w:rsidRPr="00650B62">
        <w:t>is to help and encourage all employees to achieve and maintain satisfactory standards of conduct and ensure employees are treated in a manner that is fair, sensitive, and consistent with Council values, employment law, and good management practice.</w:t>
      </w:r>
    </w:p>
    <w:p w14:paraId="365D9259" w14:textId="73E18095" w:rsidR="00A81674" w:rsidRPr="00650B62" w:rsidRDefault="00234DE3" w:rsidP="008614FF">
      <w:r w:rsidRPr="00650B62">
        <w:t>1.2</w:t>
      </w:r>
      <w:r w:rsidRPr="00650B62">
        <w:tab/>
      </w:r>
      <w:r w:rsidR="00A81674" w:rsidRPr="00650B62">
        <w:t xml:space="preserve">The policy should be read in conjunction with the Disciplinary </w:t>
      </w:r>
      <w:r w:rsidR="00383710" w:rsidRPr="00650B62">
        <w:t>Guide</w:t>
      </w:r>
      <w:r w:rsidR="00A81674" w:rsidRPr="00650B62">
        <w:t xml:space="preserve">, which provides clear guidance on the steps that should be followed to ensure that </w:t>
      </w:r>
      <w:proofErr w:type="gramStart"/>
      <w:r w:rsidR="00A81674" w:rsidRPr="00650B62">
        <w:t>allegations</w:t>
      </w:r>
      <w:proofErr w:type="gramEnd"/>
      <w:r w:rsidR="00A81674" w:rsidRPr="00650B62">
        <w:t xml:space="preserve"> of misconduct are investigated in a timely and appropriate manner. </w:t>
      </w:r>
    </w:p>
    <w:p w14:paraId="3EC422CB" w14:textId="77777777" w:rsidR="00CD7802" w:rsidRPr="00650B62" w:rsidRDefault="00CC65DC" w:rsidP="008614FF">
      <w:r w:rsidRPr="00650B62">
        <w:t>1.3</w:t>
      </w:r>
      <w:r w:rsidR="00234DE3" w:rsidRPr="00650B62">
        <w:tab/>
      </w:r>
      <w:r w:rsidR="00A81674" w:rsidRPr="00650B62">
        <w:t>This policy is not contractual</w:t>
      </w:r>
      <w:r w:rsidRPr="00650B62">
        <w:t xml:space="preserve"> and may be amended.</w:t>
      </w:r>
    </w:p>
    <w:p w14:paraId="0577A403" w14:textId="77777777" w:rsidR="00CD7802" w:rsidRPr="00650B62" w:rsidRDefault="00A67A38" w:rsidP="00383710">
      <w:pPr>
        <w:pStyle w:val="Heading1"/>
      </w:pPr>
      <w:r w:rsidRPr="00650B62">
        <w:t>Who this Policy Covers</w:t>
      </w:r>
    </w:p>
    <w:p w14:paraId="59DBA788" w14:textId="77777777" w:rsidR="004955A1" w:rsidRPr="00650B62" w:rsidRDefault="00234DE3" w:rsidP="008614FF">
      <w:r w:rsidRPr="00650B62">
        <w:t>2.1</w:t>
      </w:r>
      <w:r w:rsidRPr="00650B62">
        <w:tab/>
      </w:r>
      <w:r w:rsidR="004955A1" w:rsidRPr="00650B62">
        <w:t xml:space="preserve">The policy applies to all </w:t>
      </w:r>
      <w:r w:rsidR="004955A1" w:rsidRPr="00650B62">
        <w:rPr>
          <w:color w:val="000000" w:themeColor="text1"/>
        </w:rPr>
        <w:t>employees and workers</w:t>
      </w:r>
      <w:r w:rsidR="004955A1" w:rsidRPr="00650B62">
        <w:t>. It does not apply to contractors, consultants</w:t>
      </w:r>
      <w:r w:rsidR="00CC65DC" w:rsidRPr="00650B62">
        <w:t>, agency workers</w:t>
      </w:r>
      <w:r w:rsidR="004955A1" w:rsidRPr="00650B62">
        <w:t xml:space="preserve"> or any self-employed individuals working for the organisation. The Council’s constitutional rules will be applied for senior officers </w:t>
      </w:r>
      <w:r w:rsidR="00A6509E" w:rsidRPr="00650B62">
        <w:t xml:space="preserve">where </w:t>
      </w:r>
      <w:r w:rsidR="004955A1" w:rsidRPr="00650B62">
        <w:t>appropriate</w:t>
      </w:r>
      <w:r w:rsidR="002E2C36" w:rsidRPr="00650B62">
        <w:t>.</w:t>
      </w:r>
    </w:p>
    <w:p w14:paraId="5AB6FF32" w14:textId="17E7B125" w:rsidR="003020AE" w:rsidRPr="00650B62" w:rsidRDefault="003020AE" w:rsidP="00383710">
      <w:pPr>
        <w:pStyle w:val="Heading1"/>
      </w:pPr>
      <w:r w:rsidRPr="00650B62">
        <w:lastRenderedPageBreak/>
        <w:t>What this Policy Covers</w:t>
      </w:r>
    </w:p>
    <w:p w14:paraId="3969057E" w14:textId="59E009A4" w:rsidR="003020AE" w:rsidRPr="00650B62" w:rsidRDefault="00234DE3" w:rsidP="008614FF">
      <w:r w:rsidRPr="00650B62">
        <w:t>3.1</w:t>
      </w:r>
      <w:r w:rsidRPr="00650B62">
        <w:tab/>
      </w:r>
      <w:r w:rsidR="003020AE" w:rsidRPr="00650B62">
        <w:t>This policy covers allegations of misconduct</w:t>
      </w:r>
      <w:r w:rsidR="00D25449" w:rsidRPr="00650B62">
        <w:t>.</w:t>
      </w:r>
      <w:r w:rsidR="003020AE" w:rsidRPr="00650B62">
        <w:t xml:space="preserve"> It will not apply where other policies and procedures exist such as probation, performance or attendance</w:t>
      </w:r>
      <w:r w:rsidR="0009294C" w:rsidRPr="00650B62">
        <w:t xml:space="preserve"> and are more relevant</w:t>
      </w:r>
      <w:r w:rsidR="00C52442" w:rsidRPr="00650B62">
        <w:t>.</w:t>
      </w:r>
      <w:r w:rsidR="00730253" w:rsidRPr="00650B62">
        <w:t xml:space="preserve"> </w:t>
      </w:r>
      <w:r w:rsidR="00C52442" w:rsidRPr="00650B62">
        <w:t>I</w:t>
      </w:r>
      <w:r w:rsidR="00730253" w:rsidRPr="00650B62">
        <w:t xml:space="preserve">t may also be necessary to move between policies and procedures if </w:t>
      </w:r>
      <w:r w:rsidR="00C52442" w:rsidRPr="00650B62">
        <w:t xml:space="preserve">it </w:t>
      </w:r>
      <w:r w:rsidR="00F53103" w:rsidRPr="00650B62">
        <w:t xml:space="preserve">becomes apparent </w:t>
      </w:r>
      <w:r w:rsidR="00C52442" w:rsidRPr="00650B62">
        <w:t>that is more appropriate to address the concerns under a different procedure.</w:t>
      </w:r>
      <w:r w:rsidR="003020AE" w:rsidRPr="00650B62">
        <w:t xml:space="preserve"> </w:t>
      </w:r>
      <w:r w:rsidR="00EF4324" w:rsidRPr="00650B62">
        <w:t xml:space="preserve">Both the </w:t>
      </w:r>
      <w:r w:rsidR="003020AE" w:rsidRPr="00650B62">
        <w:t xml:space="preserve">Dignity at Work </w:t>
      </w:r>
      <w:r w:rsidR="00EF4324" w:rsidRPr="00650B62">
        <w:t>P</w:t>
      </w:r>
      <w:r w:rsidR="003020AE" w:rsidRPr="00650B62">
        <w:t>olicy</w:t>
      </w:r>
      <w:r w:rsidR="00EF4324" w:rsidRPr="00650B62">
        <w:t xml:space="preserve"> and Safeguarding Allegations Policy</w:t>
      </w:r>
      <w:r w:rsidR="003020AE" w:rsidRPr="00650B62">
        <w:t xml:space="preserve"> operate in conjunction with this Policy. </w:t>
      </w:r>
    </w:p>
    <w:p w14:paraId="03D2465B" w14:textId="02DEADDA" w:rsidR="003020AE" w:rsidRPr="00650B62" w:rsidRDefault="00234DE3" w:rsidP="008614FF">
      <w:r w:rsidRPr="00650B62">
        <w:t>3.</w:t>
      </w:r>
      <w:r w:rsidR="00C52442" w:rsidRPr="00650B62">
        <w:t>2</w:t>
      </w:r>
      <w:r w:rsidRPr="00650B62">
        <w:tab/>
      </w:r>
      <w:r w:rsidR="003020AE" w:rsidRPr="00650B62">
        <w:t>Any complaints or grievance about any matters related to the disciplinary procedure will</w:t>
      </w:r>
      <w:r w:rsidR="00D25449" w:rsidRPr="00650B62">
        <w:t xml:space="preserve"> usually</w:t>
      </w:r>
      <w:r w:rsidR="003020AE" w:rsidRPr="00650B62">
        <w:t xml:space="preserve"> be addressed as part of the disciplinary process.</w:t>
      </w:r>
    </w:p>
    <w:p w14:paraId="34E1C702" w14:textId="77777777" w:rsidR="003020AE" w:rsidRPr="00650B62" w:rsidRDefault="003020AE" w:rsidP="00383710">
      <w:pPr>
        <w:pStyle w:val="Heading1"/>
      </w:pPr>
      <w:r w:rsidRPr="00650B62">
        <w:t xml:space="preserve">Informal Action </w:t>
      </w:r>
    </w:p>
    <w:p w14:paraId="549C692C" w14:textId="6DFF2523" w:rsidR="003020AE" w:rsidRPr="00650B62" w:rsidRDefault="00234DE3" w:rsidP="007E3A3E">
      <w:pPr>
        <w:spacing w:after="0"/>
      </w:pPr>
      <w:r w:rsidRPr="00650B62">
        <w:t>4.1</w:t>
      </w:r>
      <w:r w:rsidRPr="00650B62">
        <w:tab/>
      </w:r>
      <w:r w:rsidR="003020AE" w:rsidRPr="00650B62">
        <w:t xml:space="preserve">Cases </w:t>
      </w:r>
      <w:r w:rsidR="00A6509E" w:rsidRPr="00650B62">
        <w:t xml:space="preserve">of </w:t>
      </w:r>
      <w:r w:rsidR="003020AE" w:rsidRPr="00650B62">
        <w:t>minor misconduct will be dealt with informally wherever possible. Informal warning</w:t>
      </w:r>
      <w:r w:rsidR="008745FE" w:rsidRPr="00650B62">
        <w:t>s will be confirmed in writing.</w:t>
      </w:r>
    </w:p>
    <w:p w14:paraId="0F7BA7D6" w14:textId="77777777" w:rsidR="003020AE" w:rsidRPr="00650B62" w:rsidRDefault="003020AE" w:rsidP="00383710">
      <w:pPr>
        <w:pStyle w:val="Heading1"/>
      </w:pPr>
      <w:r w:rsidRPr="00650B62">
        <w:t>Formal Action</w:t>
      </w:r>
    </w:p>
    <w:p w14:paraId="15E270F8" w14:textId="77777777" w:rsidR="003020AE" w:rsidRPr="00650B62" w:rsidRDefault="00234DE3" w:rsidP="008614FF">
      <w:r w:rsidRPr="00650B62">
        <w:t>5.1</w:t>
      </w:r>
      <w:r w:rsidRPr="00650B62">
        <w:tab/>
      </w:r>
      <w:r w:rsidR="003020AE" w:rsidRPr="00650B62">
        <w:t>The formal procedure will be applied if either the informal procedure has not resolved the misconduct issue or it is considered to be too serious to be dealt with informally.</w:t>
      </w:r>
    </w:p>
    <w:p w14:paraId="2B14A4B9" w14:textId="77777777" w:rsidR="003020AE" w:rsidRPr="00650B62" w:rsidRDefault="00234DE3" w:rsidP="008614FF">
      <w:r w:rsidRPr="00650B62">
        <w:t>5.2</w:t>
      </w:r>
      <w:r w:rsidRPr="00650B62">
        <w:tab/>
      </w:r>
      <w:r w:rsidR="003020AE" w:rsidRPr="00650B62">
        <w:t xml:space="preserve">It may be necessary to alter or restrict duties, or to suspend employees from work with pay during a disciplinary investigation. These measures are to protect the Council or ensure the smooth running of the disciplinary procedure and are in no way intended to indicate guilt on the part of the employee. </w:t>
      </w:r>
    </w:p>
    <w:p w14:paraId="520023C0" w14:textId="30552124" w:rsidR="003020AE" w:rsidRPr="00650B62" w:rsidRDefault="00234DE3" w:rsidP="008614FF">
      <w:r w:rsidRPr="00650B62">
        <w:lastRenderedPageBreak/>
        <w:t>5.3</w:t>
      </w:r>
      <w:r w:rsidRPr="00650B62">
        <w:tab/>
      </w:r>
      <w:r w:rsidR="003020AE" w:rsidRPr="00650B62">
        <w:t>Allegations of misconduct will be investigated</w:t>
      </w:r>
      <w:r w:rsidR="0009294C" w:rsidRPr="00650B62">
        <w:t xml:space="preserve"> by an appropriate </w:t>
      </w:r>
      <w:r w:rsidR="00701FB3" w:rsidRPr="00650B62">
        <w:t xml:space="preserve">person </w:t>
      </w:r>
      <w:r w:rsidR="003020AE" w:rsidRPr="00650B62">
        <w:t xml:space="preserve">in </w:t>
      </w:r>
      <w:r w:rsidR="00D25449" w:rsidRPr="00650B62">
        <w:t xml:space="preserve">a </w:t>
      </w:r>
      <w:r w:rsidR="003020AE" w:rsidRPr="00650B62">
        <w:t xml:space="preserve">way that is fair and proportionate to the seriousness and complexity. </w:t>
      </w:r>
      <w:r w:rsidR="00F53103" w:rsidRPr="00650B62">
        <w:t xml:space="preserve">This will normally be the line manager, unless it is deemed inappropriate, in which case another investigator will be identified.  </w:t>
      </w:r>
      <w:r w:rsidR="000E2CFA" w:rsidRPr="00650B62">
        <w:t>Employees will be informed of the nature of the allegation(s) of misconduct and</w:t>
      </w:r>
      <w:r w:rsidR="003020AE" w:rsidRPr="00650B62">
        <w:t xml:space="preserve"> will have the opportunity to respond. </w:t>
      </w:r>
      <w:r w:rsidR="00F53103" w:rsidRPr="00650B62">
        <w:t>The i</w:t>
      </w:r>
      <w:r w:rsidR="00C71E7C" w:rsidRPr="00650B62">
        <w:t xml:space="preserve">nvestigator </w:t>
      </w:r>
      <w:r w:rsidR="00B07FEF" w:rsidRPr="00650B62">
        <w:t xml:space="preserve">will </w:t>
      </w:r>
      <w:r w:rsidR="00F53103" w:rsidRPr="00650B62">
        <w:t xml:space="preserve">complete the investigation and then </w:t>
      </w:r>
      <w:r w:rsidR="00095C4F" w:rsidRPr="00650B62">
        <w:t xml:space="preserve">determine </w:t>
      </w:r>
      <w:r w:rsidR="00F53103" w:rsidRPr="00650B62">
        <w:t xml:space="preserve">whether to take </w:t>
      </w:r>
      <w:r w:rsidR="00B07FEF" w:rsidRPr="00650B62">
        <w:t xml:space="preserve">no further action, </w:t>
      </w:r>
      <w:r w:rsidR="00F53103" w:rsidRPr="00650B62">
        <w:t xml:space="preserve">to issue </w:t>
      </w:r>
      <w:r w:rsidR="00B07FEF" w:rsidRPr="00650B62">
        <w:t xml:space="preserve">an informal warning or </w:t>
      </w:r>
      <w:r w:rsidR="00F53103" w:rsidRPr="00650B62">
        <w:t xml:space="preserve">determine that </w:t>
      </w:r>
      <w:r w:rsidR="00B07FEF" w:rsidRPr="00650B62">
        <w:t>a disciplinary hearing</w:t>
      </w:r>
      <w:r w:rsidR="00F53103" w:rsidRPr="00650B62">
        <w:t xml:space="preserve"> is required</w:t>
      </w:r>
      <w:r w:rsidR="00B07FEF" w:rsidRPr="00650B62">
        <w:t>.</w:t>
      </w:r>
    </w:p>
    <w:p w14:paraId="6A684EB8" w14:textId="4C6321B4" w:rsidR="003020AE" w:rsidRPr="00650B62" w:rsidRDefault="00234DE3" w:rsidP="008614FF">
      <w:r w:rsidRPr="00650B62">
        <w:t>5.4</w:t>
      </w:r>
      <w:r w:rsidRPr="00650B62">
        <w:tab/>
      </w:r>
      <w:r w:rsidR="003020AE" w:rsidRPr="00650B62">
        <w:t>Any conduct issues must be managed within a reasonable timeframe.</w:t>
      </w:r>
      <w:r w:rsidR="00C71E7C" w:rsidRPr="00650B62">
        <w:t xml:space="preserve"> The individual will be kept informed of </w:t>
      </w:r>
      <w:r w:rsidR="00730253" w:rsidRPr="00650B62">
        <w:t>progress and anticipated</w:t>
      </w:r>
      <w:r w:rsidR="00C71E7C" w:rsidRPr="00650B62">
        <w:t xml:space="preserve"> timescales.</w:t>
      </w:r>
    </w:p>
    <w:p w14:paraId="45333E58" w14:textId="77777777" w:rsidR="008614FF" w:rsidRPr="00650B62" w:rsidRDefault="00B07FEF" w:rsidP="008614FF">
      <w:r w:rsidRPr="00650B62">
        <w:t>5.5</w:t>
      </w:r>
      <w:r w:rsidR="000E2CFA" w:rsidRPr="00650B62">
        <w:tab/>
        <w:t xml:space="preserve">Where cases relate to alleged criminal activity and </w:t>
      </w:r>
      <w:r w:rsidRPr="00650B62">
        <w:t xml:space="preserve">are </w:t>
      </w:r>
      <w:r w:rsidR="000E2CFA" w:rsidRPr="00650B62">
        <w:t>subject to external investigation (e.g. police, safeguarding teams) the disciplinary investigation may run concurrently.</w:t>
      </w:r>
      <w:r w:rsidRPr="00650B62">
        <w:t xml:space="preserve"> Where appropriate we may share investigation findings with external bodies e.g. police, safeguarding boards and the Independent Safeguarding Authority.</w:t>
      </w:r>
    </w:p>
    <w:p w14:paraId="215A5E51" w14:textId="2C95189E" w:rsidR="008614FF" w:rsidRPr="00650B62" w:rsidRDefault="00234DE3" w:rsidP="008614FF">
      <w:r w:rsidRPr="00650B62">
        <w:t>5.6</w:t>
      </w:r>
      <w:r w:rsidRPr="00650B62">
        <w:tab/>
      </w:r>
      <w:r w:rsidR="003020AE" w:rsidRPr="00650B62">
        <w:t xml:space="preserve">Employees will be informed of their statutory right to be accompanied at </w:t>
      </w:r>
      <w:r w:rsidR="003020AE" w:rsidRPr="00650B62">
        <w:rPr>
          <w:color w:val="000000" w:themeColor="text1"/>
        </w:rPr>
        <w:t xml:space="preserve">formal hearings </w:t>
      </w:r>
      <w:r w:rsidR="003020AE" w:rsidRPr="00650B62">
        <w:t>by a Trade Union Representative or work colleague. Trade Union Representatives have the right to be represented by their District or Regional Officer.</w:t>
      </w:r>
    </w:p>
    <w:p w14:paraId="0604FF43" w14:textId="14A26576" w:rsidR="003020AE" w:rsidRPr="00650B62" w:rsidRDefault="001F14F7" w:rsidP="008614FF">
      <w:r w:rsidRPr="00650B62">
        <w:t>5.7</w:t>
      </w:r>
      <w:r w:rsidR="00234DE3" w:rsidRPr="00650B62">
        <w:tab/>
      </w:r>
      <w:r w:rsidR="00542B5E" w:rsidRPr="00650B62">
        <w:t xml:space="preserve">A </w:t>
      </w:r>
      <w:r w:rsidR="003020AE" w:rsidRPr="00650B62">
        <w:t xml:space="preserve">non-exhaustive list of </w:t>
      </w:r>
      <w:r w:rsidR="00542B5E" w:rsidRPr="00650B62">
        <w:t xml:space="preserve">examples of </w:t>
      </w:r>
      <w:r w:rsidR="003020AE" w:rsidRPr="00650B62">
        <w:t>acts of misconduct and gross misconduct</w:t>
      </w:r>
      <w:r w:rsidR="00542B5E" w:rsidRPr="00650B62">
        <w:t xml:space="preserve"> is attached at Appendix 1</w:t>
      </w:r>
      <w:r w:rsidR="00EF198D" w:rsidRPr="00650B62">
        <w:t>.</w:t>
      </w:r>
    </w:p>
    <w:p w14:paraId="44AD95F6" w14:textId="5048887F" w:rsidR="008745FE" w:rsidRPr="00650B62" w:rsidRDefault="001F14F7" w:rsidP="008614FF">
      <w:r w:rsidRPr="00650B62">
        <w:t>5.8</w:t>
      </w:r>
      <w:r w:rsidR="00234DE3" w:rsidRPr="00650B62">
        <w:tab/>
      </w:r>
      <w:r w:rsidR="003020AE" w:rsidRPr="00650B62">
        <w:t>There are a number of sanctions that may be given. These will normally be either to take no action;</w:t>
      </w:r>
      <w:r w:rsidR="008745FE" w:rsidRPr="00650B62">
        <w:t xml:space="preserve"> issue an informal warning,</w:t>
      </w:r>
      <w:r w:rsidR="003020AE" w:rsidRPr="00650B62">
        <w:t xml:space="preserve"> give a first warning or a final warning; dismissal with notice</w:t>
      </w:r>
      <w:r w:rsidR="00071D7C">
        <w:t xml:space="preserve"> or</w:t>
      </w:r>
      <w:r w:rsidR="003020AE" w:rsidRPr="00650B62">
        <w:t xml:space="preserve"> summary dismissal </w:t>
      </w:r>
      <w:r w:rsidR="003020AE" w:rsidRPr="00650B62">
        <w:lastRenderedPageBreak/>
        <w:t>(without notice)</w:t>
      </w:r>
      <w:r w:rsidR="00071D7C">
        <w:t>.</w:t>
      </w:r>
      <w:r w:rsidR="000E2CFA" w:rsidRPr="00650B62">
        <w:t xml:space="preserve"> O</w:t>
      </w:r>
      <w:r w:rsidR="003020AE" w:rsidRPr="00650B62">
        <w:t>ther actions may be recommended or sanctions applied, if considered appropriate.</w:t>
      </w:r>
      <w:r w:rsidR="008745FE" w:rsidRPr="00650B62">
        <w:t xml:space="preserve"> </w:t>
      </w:r>
    </w:p>
    <w:p w14:paraId="08C16B3C" w14:textId="150A7C55" w:rsidR="003020AE" w:rsidRPr="00650B62" w:rsidRDefault="008745FE" w:rsidP="008614FF">
      <w:r w:rsidRPr="00650B62">
        <w:t>5.9</w:t>
      </w:r>
      <w:r w:rsidRPr="00650B62">
        <w:tab/>
        <w:t>Employees cannot be dismissed for a first instance of misconduct except in the case of gross misconduct, where the penalty may be dismissal without notice.</w:t>
      </w:r>
    </w:p>
    <w:p w14:paraId="7F3B919E" w14:textId="0565DA26" w:rsidR="003020AE" w:rsidRPr="00650B62" w:rsidRDefault="00234DE3" w:rsidP="008614FF">
      <w:r w:rsidRPr="00650B62">
        <w:t>5.</w:t>
      </w:r>
      <w:r w:rsidR="008745FE" w:rsidRPr="00650B62">
        <w:t>10</w:t>
      </w:r>
      <w:r w:rsidRPr="00650B62">
        <w:tab/>
      </w:r>
      <w:r w:rsidR="003020AE" w:rsidRPr="00650B62">
        <w:t>Where dismissal may be an outcome the disciplinary hearing will be chaired by</w:t>
      </w:r>
      <w:r w:rsidR="001F14F7" w:rsidRPr="00650B62">
        <w:t xml:space="preserve"> a Head of Service or more senior officer</w:t>
      </w:r>
      <w:r w:rsidR="003020AE" w:rsidRPr="00650B62">
        <w:t>.</w:t>
      </w:r>
    </w:p>
    <w:p w14:paraId="5FEF90DB" w14:textId="7F9D2DCA" w:rsidR="00E754FC" w:rsidRDefault="00234DE3" w:rsidP="008614FF">
      <w:r w:rsidRPr="00650B62">
        <w:t>5.1</w:t>
      </w:r>
      <w:r w:rsidR="008745FE" w:rsidRPr="00650B62">
        <w:t>1</w:t>
      </w:r>
      <w:r w:rsidRPr="00650B62">
        <w:tab/>
      </w:r>
      <w:r w:rsidR="003020AE" w:rsidRPr="00650B62">
        <w:t>Employees may appeal the disciplinary decision</w:t>
      </w:r>
      <w:r w:rsidR="00C71E7C" w:rsidRPr="00650B62">
        <w:t xml:space="preserve"> within </w:t>
      </w:r>
      <w:r w:rsidR="008745FE" w:rsidRPr="00650B62">
        <w:t>seven</w:t>
      </w:r>
      <w:r w:rsidR="00701FB3" w:rsidRPr="00650B62">
        <w:t xml:space="preserve"> calendar </w:t>
      </w:r>
      <w:r w:rsidR="00C71E7C" w:rsidRPr="00650B62">
        <w:t>days of receiving the outcome letter</w:t>
      </w:r>
      <w:r w:rsidR="003020AE" w:rsidRPr="00650B62">
        <w:t>. They will be advised of this right and will be required to explain the reason for their appeal.</w:t>
      </w:r>
      <w:r w:rsidR="00E754FC" w:rsidRPr="00650B62">
        <w:t xml:space="preserve"> </w:t>
      </w:r>
    </w:p>
    <w:p w14:paraId="71096901" w14:textId="77777777" w:rsidR="00DB2475" w:rsidRDefault="00DB2475" w:rsidP="00DB2475">
      <w:r>
        <w:t>5.12</w:t>
      </w:r>
      <w:r>
        <w:tab/>
      </w:r>
      <w:r w:rsidRPr="00DB2475">
        <w:t>At the employee’s request, an Elected Member may attend an appeal meeting to observe proceedings but not participate in the decision.</w:t>
      </w:r>
    </w:p>
    <w:p w14:paraId="6E949D94" w14:textId="6AE35D87" w:rsidR="008614FF" w:rsidRPr="00650B62" w:rsidRDefault="008614FF" w:rsidP="008614FF">
      <w:r w:rsidRPr="00650B62">
        <w:t>5.1</w:t>
      </w:r>
      <w:r w:rsidR="00DB2475">
        <w:t>3</w:t>
      </w:r>
      <w:r w:rsidRPr="00650B62">
        <w:tab/>
      </w:r>
      <w:r w:rsidR="003020AE" w:rsidRPr="00650B62">
        <w:t>The appeal hearing decision is final.</w:t>
      </w:r>
    </w:p>
    <w:p w14:paraId="7849F3DD" w14:textId="566E1865" w:rsidR="000349F2" w:rsidRPr="00650B62" w:rsidRDefault="000349F2" w:rsidP="00383710">
      <w:pPr>
        <w:pStyle w:val="Heading1"/>
      </w:pPr>
      <w:r w:rsidRPr="00650B62">
        <w:t>Confidentiality</w:t>
      </w:r>
    </w:p>
    <w:p w14:paraId="481D609E" w14:textId="12F4B4BF" w:rsidR="000349F2" w:rsidRPr="00650B62" w:rsidRDefault="00234DE3" w:rsidP="008614FF">
      <w:r w:rsidRPr="00650B62">
        <w:t>6.1</w:t>
      </w:r>
      <w:r w:rsidRPr="00650B62">
        <w:tab/>
      </w:r>
      <w:r w:rsidR="000349F2" w:rsidRPr="00650B62">
        <w:t>All parties involved in the disciplinary procedure must ensure that they maintain confidentiality and any breach of this will be treated as potential misconduct.</w:t>
      </w:r>
    </w:p>
    <w:p w14:paraId="2A1066A4" w14:textId="77777777" w:rsidR="003020AE" w:rsidRPr="00650B62" w:rsidRDefault="000349F2" w:rsidP="00383710">
      <w:pPr>
        <w:pStyle w:val="Heading1"/>
      </w:pPr>
      <w:r w:rsidRPr="00650B62">
        <w:t>The Role of the People Team</w:t>
      </w:r>
    </w:p>
    <w:p w14:paraId="523E61DE" w14:textId="64B0C0E0" w:rsidR="000349F2" w:rsidRPr="00650B62" w:rsidRDefault="00234DE3" w:rsidP="008614FF">
      <w:r w:rsidRPr="00650B62">
        <w:t>7.1</w:t>
      </w:r>
      <w:r w:rsidRPr="00650B62">
        <w:tab/>
      </w:r>
      <w:r w:rsidR="000349F2" w:rsidRPr="00650B62">
        <w:t xml:space="preserve">The People Team is responsible for advising on the fair, consistent application of the Disciplinary </w:t>
      </w:r>
      <w:r w:rsidR="00691042" w:rsidRPr="00650B62">
        <w:t xml:space="preserve">Procedure </w:t>
      </w:r>
      <w:r w:rsidR="000349F2" w:rsidRPr="00650B62">
        <w:t>Policy. Managers must contact the People Team before starting the formal disciplinary procedure.</w:t>
      </w:r>
    </w:p>
    <w:p w14:paraId="46EB9C19" w14:textId="4564D430" w:rsidR="00DD650E" w:rsidRPr="00650B62" w:rsidRDefault="000349F2" w:rsidP="00383710">
      <w:pPr>
        <w:pStyle w:val="Heading1"/>
      </w:pPr>
      <w:r w:rsidRPr="00650B62">
        <w:t>Monitoring</w:t>
      </w:r>
      <w:r w:rsidR="00DD650E" w:rsidRPr="00650B62">
        <w:t xml:space="preserve"> and Review</w:t>
      </w:r>
      <w:r w:rsidRPr="00650B62">
        <w:t xml:space="preserve"> </w:t>
      </w:r>
    </w:p>
    <w:p w14:paraId="520B662B" w14:textId="6B346E24" w:rsidR="000349F2" w:rsidRPr="00650B62" w:rsidRDefault="00CF5AFF" w:rsidP="008614FF">
      <w:r w:rsidRPr="00650B62">
        <w:t>8.1</w:t>
      </w:r>
      <w:r w:rsidR="008614FF" w:rsidRPr="00650B62">
        <w:tab/>
        <w:t xml:space="preserve">This </w:t>
      </w:r>
      <w:r w:rsidR="00DF3BA3" w:rsidRPr="00650B62">
        <w:t>policy will be regularly reviewed in consultation with trade unions.</w:t>
      </w:r>
      <w:r w:rsidR="000349F2" w:rsidRPr="00650B62">
        <w:t xml:space="preserve"> </w:t>
      </w:r>
    </w:p>
    <w:p w14:paraId="2AC18E0C" w14:textId="492716E8" w:rsidR="00EF2D48" w:rsidRPr="00650B62" w:rsidRDefault="008614FF" w:rsidP="00383710">
      <w:pPr>
        <w:spacing w:before="240"/>
      </w:pPr>
      <w:r w:rsidRPr="00650B62">
        <w:lastRenderedPageBreak/>
        <w:t>8.2</w:t>
      </w:r>
      <w:r w:rsidRPr="00650B62">
        <w:tab/>
      </w:r>
      <w:r w:rsidR="00DD650E" w:rsidRPr="00650B62">
        <w:t>The policy will be monitored to ensure it continues to meet the requirement to treat all employees equally, fairly and without discrimination.</w:t>
      </w:r>
    </w:p>
    <w:p w14:paraId="486EC8EC" w14:textId="28037446" w:rsidR="004E37DF" w:rsidRPr="00650B62" w:rsidRDefault="004E37DF" w:rsidP="00730253">
      <w:pPr>
        <w:pStyle w:val="Heading1"/>
        <w:numPr>
          <w:ilvl w:val="0"/>
          <w:numId w:val="0"/>
        </w:numPr>
      </w:pPr>
      <w:r w:rsidRPr="00650B62">
        <w:t>Appendix</w:t>
      </w:r>
      <w:r w:rsidR="00730253" w:rsidRPr="00650B62">
        <w:t xml:space="preserve"> 1 – Examples of Misconduct</w:t>
      </w:r>
    </w:p>
    <w:p w14:paraId="184A7CFA" w14:textId="2A1F22D7" w:rsidR="001A69B2" w:rsidRPr="00650B62" w:rsidRDefault="001A69B2" w:rsidP="00F53103">
      <w:pPr>
        <w:ind w:left="0" w:firstLine="0"/>
      </w:pPr>
      <w:r w:rsidRPr="00650B62">
        <w:t>Examples of misconduct</w:t>
      </w:r>
      <w:r w:rsidR="000B5182" w:rsidRPr="00650B62">
        <w:t xml:space="preserve"> and</w:t>
      </w:r>
      <w:r w:rsidR="00923617" w:rsidRPr="00650B62">
        <w:t xml:space="preserve"> </w:t>
      </w:r>
      <w:r w:rsidRPr="00650B62">
        <w:t>gross misconduct for which disciplinary action is appropriate include (but are not limited to):</w:t>
      </w:r>
    </w:p>
    <w:p w14:paraId="737E1F4D" w14:textId="0BB52B98" w:rsidR="00730253" w:rsidRPr="00650B62" w:rsidRDefault="00730253" w:rsidP="00F53103">
      <w:r w:rsidRPr="00650B62">
        <w:rPr>
          <w:b/>
        </w:rPr>
        <w:t>Misconduct</w:t>
      </w:r>
      <w:r w:rsidR="001A69B2" w:rsidRPr="00650B62">
        <w:rPr>
          <w:b/>
        </w:rPr>
        <w:t xml:space="preserve"> </w:t>
      </w:r>
    </w:p>
    <w:p w14:paraId="24E2383D" w14:textId="7A10361D" w:rsidR="00730253" w:rsidRPr="00650B62" w:rsidRDefault="001B76F2" w:rsidP="001B76F2">
      <w:pPr>
        <w:pStyle w:val="ListParagraph"/>
        <w:numPr>
          <w:ilvl w:val="0"/>
          <w:numId w:val="40"/>
        </w:numPr>
      </w:pPr>
      <w:r w:rsidRPr="00650B62">
        <w:t>Failure to follow a reasonable management request</w:t>
      </w:r>
    </w:p>
    <w:p w14:paraId="52614E93" w14:textId="38AA7478" w:rsidR="001B76F2" w:rsidRPr="00650B62" w:rsidRDefault="001B76F2" w:rsidP="001B76F2">
      <w:pPr>
        <w:pStyle w:val="ListParagraph"/>
        <w:numPr>
          <w:ilvl w:val="0"/>
          <w:numId w:val="40"/>
        </w:numPr>
      </w:pPr>
      <w:r w:rsidRPr="00650B62">
        <w:t>Lateness</w:t>
      </w:r>
      <w:r w:rsidR="00A60AC4" w:rsidRPr="00650B62">
        <w:t xml:space="preserve"> and poor timekeeping</w:t>
      </w:r>
    </w:p>
    <w:p w14:paraId="1C7A7E45" w14:textId="3E99344D" w:rsidR="001B76F2" w:rsidRPr="00650B62" w:rsidRDefault="00402EDF" w:rsidP="001B76F2">
      <w:pPr>
        <w:pStyle w:val="ListParagraph"/>
        <w:numPr>
          <w:ilvl w:val="0"/>
          <w:numId w:val="40"/>
        </w:numPr>
      </w:pPr>
      <w:r>
        <w:t>B</w:t>
      </w:r>
      <w:r w:rsidR="001A69B2" w:rsidRPr="00650B62">
        <w:t>reach of a</w:t>
      </w:r>
      <w:r w:rsidR="001B76F2" w:rsidRPr="00650B62">
        <w:t>bsence</w:t>
      </w:r>
      <w:r w:rsidR="001A69B2" w:rsidRPr="00650B62">
        <w:t xml:space="preserve"> reporting procedures</w:t>
      </w:r>
    </w:p>
    <w:p w14:paraId="56630602" w14:textId="0CDEBC18" w:rsidR="001B76F2" w:rsidRPr="00650B62" w:rsidRDefault="001A69B2" w:rsidP="001B76F2">
      <w:pPr>
        <w:pStyle w:val="ListParagraph"/>
        <w:numPr>
          <w:ilvl w:val="0"/>
          <w:numId w:val="40"/>
        </w:numPr>
      </w:pPr>
      <w:r w:rsidRPr="00650B62">
        <w:t>Insulting or offensive</w:t>
      </w:r>
      <w:r w:rsidR="001B76F2" w:rsidRPr="00650B62">
        <w:t xml:space="preserve"> behaviour towards colleagues or customers</w:t>
      </w:r>
    </w:p>
    <w:p w14:paraId="29AD43A2" w14:textId="77777777" w:rsidR="00F53103" w:rsidRPr="00650B62" w:rsidRDefault="000B5182" w:rsidP="00923617">
      <w:pPr>
        <w:pStyle w:val="ListParagraph"/>
        <w:numPr>
          <w:ilvl w:val="0"/>
          <w:numId w:val="40"/>
        </w:numPr>
      </w:pPr>
      <w:r w:rsidRPr="00650B62">
        <w:t>A breach of Council policies including the Employee Code of Conduct</w:t>
      </w:r>
    </w:p>
    <w:p w14:paraId="297187E9" w14:textId="77D6AE84" w:rsidR="00923617" w:rsidRPr="00650B62" w:rsidRDefault="00923617" w:rsidP="00F53103">
      <w:pPr>
        <w:pStyle w:val="ListParagraph"/>
        <w:numPr>
          <w:ilvl w:val="0"/>
          <w:numId w:val="40"/>
        </w:numPr>
      </w:pPr>
      <w:r w:rsidRPr="00650B62">
        <w:t>Depending on the seriousness of the allegation the above actions may be considered to be gross misconduct</w:t>
      </w:r>
    </w:p>
    <w:p w14:paraId="744FCB37" w14:textId="12EB8D59" w:rsidR="00730253" w:rsidRPr="00650B62" w:rsidRDefault="00730253" w:rsidP="00F53103">
      <w:pPr>
        <w:rPr>
          <w:b/>
        </w:rPr>
      </w:pPr>
      <w:r w:rsidRPr="00650B62">
        <w:rPr>
          <w:b/>
        </w:rPr>
        <w:t>Gross Misconduct</w:t>
      </w:r>
    </w:p>
    <w:p w14:paraId="30AA36D4" w14:textId="6CD7505E" w:rsidR="001B76F2" w:rsidRPr="00650B62" w:rsidRDefault="001B76F2" w:rsidP="001B76F2">
      <w:pPr>
        <w:pStyle w:val="ListParagraph"/>
        <w:numPr>
          <w:ilvl w:val="0"/>
          <w:numId w:val="41"/>
        </w:numPr>
      </w:pPr>
      <w:r w:rsidRPr="00650B62">
        <w:t>Theft, fraud or falsification of documents</w:t>
      </w:r>
    </w:p>
    <w:p w14:paraId="4C657F74" w14:textId="3DD159B4" w:rsidR="001B76F2" w:rsidRPr="00650B62" w:rsidRDefault="00542B5E" w:rsidP="001B76F2">
      <w:pPr>
        <w:pStyle w:val="ListParagraph"/>
        <w:numPr>
          <w:ilvl w:val="0"/>
          <w:numId w:val="41"/>
        </w:numPr>
      </w:pPr>
      <w:r w:rsidRPr="00650B62">
        <w:t>P</w:t>
      </w:r>
      <w:r w:rsidR="001B76F2" w:rsidRPr="00650B62">
        <w:t>hysical violence</w:t>
      </w:r>
      <w:r w:rsidRPr="00650B62">
        <w:t xml:space="preserve"> or bullying</w:t>
      </w:r>
    </w:p>
    <w:p w14:paraId="718090D2" w14:textId="5E8C0CC8" w:rsidR="001B76F2" w:rsidRPr="00650B62" w:rsidRDefault="001B76F2" w:rsidP="001B76F2">
      <w:pPr>
        <w:pStyle w:val="ListParagraph"/>
        <w:numPr>
          <w:ilvl w:val="0"/>
          <w:numId w:val="41"/>
        </w:numPr>
      </w:pPr>
      <w:r w:rsidRPr="00650B62">
        <w:t>Wilful damage to property</w:t>
      </w:r>
    </w:p>
    <w:p w14:paraId="6FFC54A0" w14:textId="6EC049DD" w:rsidR="001B76F2" w:rsidRPr="00650B62" w:rsidRDefault="001B76F2" w:rsidP="001B76F2">
      <w:pPr>
        <w:pStyle w:val="ListParagraph"/>
        <w:numPr>
          <w:ilvl w:val="0"/>
          <w:numId w:val="41"/>
        </w:numPr>
      </w:pPr>
      <w:r w:rsidRPr="00650B62">
        <w:t>Serious breach of health and safety rules</w:t>
      </w:r>
    </w:p>
    <w:p w14:paraId="61DE9FBD" w14:textId="3DD32D99" w:rsidR="001B76F2" w:rsidRPr="00650B62" w:rsidRDefault="001B76F2" w:rsidP="001B76F2">
      <w:pPr>
        <w:pStyle w:val="ListParagraph"/>
        <w:numPr>
          <w:ilvl w:val="0"/>
          <w:numId w:val="41"/>
        </w:numPr>
      </w:pPr>
      <w:r w:rsidRPr="00650B62">
        <w:t xml:space="preserve">Bringing the </w:t>
      </w:r>
      <w:r w:rsidR="005C2D3D" w:rsidRPr="00650B62">
        <w:t>Council</w:t>
      </w:r>
      <w:r w:rsidRPr="00650B62">
        <w:t xml:space="preserve"> into disrepute</w:t>
      </w:r>
    </w:p>
    <w:p w14:paraId="125237E9" w14:textId="76D0DE6B" w:rsidR="00EF198D" w:rsidRPr="00650B62" w:rsidRDefault="001B76F2" w:rsidP="00650B62">
      <w:pPr>
        <w:pStyle w:val="ListParagraph"/>
        <w:numPr>
          <w:ilvl w:val="0"/>
          <w:numId w:val="41"/>
        </w:numPr>
      </w:pPr>
      <w:r w:rsidRPr="00650B62">
        <w:t>Serious misuse of computer, email or internet facilities</w:t>
      </w:r>
    </w:p>
    <w:p w14:paraId="0A798F7D" w14:textId="7737900D" w:rsidR="001B76F2" w:rsidRPr="00650B62" w:rsidRDefault="001B76F2" w:rsidP="001B76F2">
      <w:pPr>
        <w:pStyle w:val="ListParagraph"/>
        <w:numPr>
          <w:ilvl w:val="0"/>
          <w:numId w:val="41"/>
        </w:numPr>
      </w:pPr>
      <w:r w:rsidRPr="00650B62">
        <w:t>Unlawful discrimination or harassment</w:t>
      </w:r>
    </w:p>
    <w:p w14:paraId="5BCC31F5" w14:textId="77777777" w:rsidR="004819D7" w:rsidRPr="00650B62" w:rsidRDefault="004819D7">
      <w:pPr>
        <w:spacing w:after="160" w:line="259" w:lineRule="auto"/>
        <w:ind w:left="0" w:firstLine="0"/>
        <w:rPr>
          <w:rFonts w:eastAsiaTheme="majorEastAsia" w:cstheme="majorBidi"/>
          <w:b/>
          <w:color w:val="2E74B5" w:themeColor="accent1" w:themeShade="BF"/>
          <w:sz w:val="26"/>
          <w:szCs w:val="32"/>
        </w:rPr>
      </w:pPr>
      <w:r w:rsidRPr="00650B62">
        <w:br w:type="page"/>
      </w:r>
    </w:p>
    <w:p w14:paraId="28F92003" w14:textId="5B11D650" w:rsidR="001B76F2" w:rsidRDefault="001B76F2" w:rsidP="001B76F2">
      <w:pPr>
        <w:pStyle w:val="Heading1"/>
        <w:numPr>
          <w:ilvl w:val="0"/>
          <w:numId w:val="0"/>
        </w:numPr>
      </w:pPr>
      <w:r w:rsidRPr="00650B62">
        <w:lastRenderedPageBreak/>
        <w:t>Appendix 2 – Overview of Disciplinary Proc</w:t>
      </w:r>
      <w:r w:rsidR="00167653" w:rsidRPr="00650B62">
        <w:t>edure</w:t>
      </w:r>
    </w:p>
    <w:p w14:paraId="46BCD213" w14:textId="155605D2" w:rsidR="00C71E7C" w:rsidRDefault="004755FD" w:rsidP="00773AA6">
      <w:pPr>
        <w:jc w:val="center"/>
      </w:pPr>
      <w:r>
        <w:rPr>
          <w:noProof/>
          <w:lang w:eastAsia="en-GB"/>
        </w:rPr>
        <w:lastRenderedPageBreak/>
        <w:drawing>
          <wp:inline distT="0" distB="0" distL="0" distR="0" wp14:anchorId="202A1173" wp14:editId="08EC192F">
            <wp:extent cx="5158596" cy="66137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012" t="8298" r="66437" b="53976"/>
                    <a:stretch/>
                  </pic:blipFill>
                  <pic:spPr bwMode="auto">
                    <a:xfrm>
                      <a:off x="0" y="0"/>
                      <a:ext cx="5169618" cy="6627891"/>
                    </a:xfrm>
                    <a:prstGeom prst="rect">
                      <a:avLst/>
                    </a:prstGeom>
                    <a:ln>
                      <a:noFill/>
                    </a:ln>
                    <a:extLst>
                      <a:ext uri="{53640926-AAD7-44D8-BBD7-CCE9431645EC}">
                        <a14:shadowObscured xmlns:a14="http://schemas.microsoft.com/office/drawing/2010/main"/>
                      </a:ext>
                    </a:extLst>
                  </pic:spPr>
                </pic:pic>
              </a:graphicData>
            </a:graphic>
          </wp:inline>
        </w:drawing>
      </w:r>
    </w:p>
    <w:sectPr w:rsidR="00C71E7C" w:rsidSect="001F7323">
      <w:footerReference w:type="default" r:id="rId13"/>
      <w:pgSz w:w="11906" w:h="16838"/>
      <w:pgMar w:top="1135" w:right="1080" w:bottom="993" w:left="1080" w:header="70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6021" w14:textId="77777777" w:rsidR="00AB5BBE" w:rsidRDefault="00AB5BBE" w:rsidP="008614FF">
      <w:r>
        <w:separator/>
      </w:r>
    </w:p>
    <w:p w14:paraId="38DDBCE9" w14:textId="77777777" w:rsidR="00AB5BBE" w:rsidRDefault="00AB5BBE" w:rsidP="008614FF"/>
  </w:endnote>
  <w:endnote w:type="continuationSeparator" w:id="0">
    <w:p w14:paraId="319E4966" w14:textId="77777777" w:rsidR="00AB5BBE" w:rsidRDefault="00AB5BBE" w:rsidP="008614FF">
      <w:r>
        <w:continuationSeparator/>
      </w:r>
    </w:p>
    <w:p w14:paraId="2072A4F9" w14:textId="77777777" w:rsidR="00AB5BBE" w:rsidRDefault="00AB5BBE" w:rsidP="0086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35A0" w14:textId="5E147814" w:rsidR="00D67DEB" w:rsidRPr="00182A36" w:rsidRDefault="00182A36" w:rsidP="00CB2D5B">
    <w:pPr>
      <w:pStyle w:val="Footer"/>
      <w:tabs>
        <w:tab w:val="clear" w:pos="4513"/>
        <w:tab w:val="clear" w:pos="9026"/>
        <w:tab w:val="left" w:pos="2694"/>
        <w:tab w:val="left" w:pos="5103"/>
        <w:tab w:val="left" w:pos="8080"/>
      </w:tabs>
    </w:pPr>
    <w:r>
      <w:rPr>
        <w:sz w:val="20"/>
        <w:szCs w:val="20"/>
      </w:rPr>
      <w:t>PTNNNN</w:t>
    </w:r>
    <w:r>
      <w:rPr>
        <w:sz w:val="20"/>
        <w:szCs w:val="20"/>
      </w:rPr>
      <w:tab/>
    </w:r>
    <w:r>
      <w:rPr>
        <w:sz w:val="20"/>
        <w:szCs w:val="20"/>
      </w:rPr>
      <w:tab/>
    </w:r>
    <w:r w:rsidRPr="000B0D2A">
      <w:rPr>
        <w:sz w:val="20"/>
        <w:szCs w:val="20"/>
      </w:rPr>
      <w:t xml:space="preserve">Version: </w:t>
    </w:r>
    <w:r w:rsidR="00383710">
      <w:rPr>
        <w:sz w:val="20"/>
        <w:szCs w:val="20"/>
      </w:rPr>
      <w:t>DRAFT</w:t>
    </w:r>
    <w:r>
      <w:rPr>
        <w:sz w:val="20"/>
        <w:szCs w:val="20"/>
      </w:rPr>
      <w:tab/>
    </w:r>
    <w:r w:rsidRPr="000B0D2A">
      <w:rPr>
        <w:sz w:val="20"/>
        <w:szCs w:val="20"/>
      </w:rPr>
      <w:t xml:space="preserve">Date: </w:t>
    </w:r>
    <w:r>
      <w:rPr>
        <w:sz w:val="20"/>
        <w:szCs w:val="20"/>
      </w:rPr>
      <w:t>01/03/2022</w:t>
    </w:r>
    <w:r w:rsidR="00CB2D5B">
      <w:rPr>
        <w:sz w:val="20"/>
        <w:szCs w:val="20"/>
      </w:rPr>
      <w:tab/>
    </w:r>
    <w:r w:rsidRPr="000B0D2A">
      <w:rPr>
        <w:sz w:val="20"/>
        <w:szCs w:val="20"/>
      </w:rPr>
      <w:t xml:space="preserve">Page </w:t>
    </w:r>
    <w:r w:rsidRPr="000B0D2A">
      <w:rPr>
        <w:b/>
        <w:bCs/>
        <w:sz w:val="20"/>
        <w:szCs w:val="20"/>
      </w:rPr>
      <w:fldChar w:fldCharType="begin"/>
    </w:r>
    <w:r w:rsidRPr="000B0D2A">
      <w:rPr>
        <w:b/>
        <w:bCs/>
        <w:sz w:val="20"/>
        <w:szCs w:val="20"/>
      </w:rPr>
      <w:instrText xml:space="preserve"> PAGE </w:instrText>
    </w:r>
    <w:r w:rsidRPr="000B0D2A">
      <w:rPr>
        <w:b/>
        <w:bCs/>
        <w:sz w:val="20"/>
        <w:szCs w:val="20"/>
      </w:rPr>
      <w:fldChar w:fldCharType="separate"/>
    </w:r>
    <w:r w:rsidR="00751415">
      <w:rPr>
        <w:b/>
        <w:bCs/>
        <w:noProof/>
        <w:sz w:val="20"/>
        <w:szCs w:val="20"/>
      </w:rPr>
      <w:t>4</w:t>
    </w:r>
    <w:r w:rsidRPr="000B0D2A">
      <w:rPr>
        <w:b/>
        <w:bCs/>
        <w:sz w:val="20"/>
        <w:szCs w:val="20"/>
      </w:rPr>
      <w:fldChar w:fldCharType="end"/>
    </w:r>
    <w:r w:rsidRPr="000B0D2A">
      <w:rPr>
        <w:sz w:val="20"/>
        <w:szCs w:val="20"/>
      </w:rPr>
      <w:t xml:space="preserve"> of </w:t>
    </w:r>
    <w:r w:rsidRPr="000B0D2A">
      <w:rPr>
        <w:b/>
        <w:bCs/>
        <w:sz w:val="20"/>
        <w:szCs w:val="20"/>
      </w:rPr>
      <w:fldChar w:fldCharType="begin"/>
    </w:r>
    <w:r w:rsidRPr="000B0D2A">
      <w:rPr>
        <w:b/>
        <w:bCs/>
        <w:sz w:val="20"/>
        <w:szCs w:val="20"/>
      </w:rPr>
      <w:instrText xml:space="preserve"> NUMPAGES  </w:instrText>
    </w:r>
    <w:r w:rsidRPr="000B0D2A">
      <w:rPr>
        <w:b/>
        <w:bCs/>
        <w:sz w:val="20"/>
        <w:szCs w:val="20"/>
      </w:rPr>
      <w:fldChar w:fldCharType="separate"/>
    </w:r>
    <w:r w:rsidR="00751415">
      <w:rPr>
        <w:b/>
        <w:bCs/>
        <w:noProof/>
        <w:sz w:val="20"/>
        <w:szCs w:val="20"/>
      </w:rPr>
      <w:t>4</w:t>
    </w:r>
    <w:r w:rsidRPr="000B0D2A">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47B2E" w14:textId="77777777" w:rsidR="00AB5BBE" w:rsidRDefault="00AB5BBE" w:rsidP="008614FF">
      <w:r>
        <w:separator/>
      </w:r>
    </w:p>
    <w:p w14:paraId="1DE67C17" w14:textId="77777777" w:rsidR="00AB5BBE" w:rsidRDefault="00AB5BBE" w:rsidP="008614FF"/>
  </w:footnote>
  <w:footnote w:type="continuationSeparator" w:id="0">
    <w:p w14:paraId="7D30E85E" w14:textId="77777777" w:rsidR="00AB5BBE" w:rsidRDefault="00AB5BBE" w:rsidP="008614FF">
      <w:r>
        <w:continuationSeparator/>
      </w:r>
    </w:p>
    <w:p w14:paraId="584F4EB1" w14:textId="77777777" w:rsidR="00AB5BBE" w:rsidRDefault="00AB5BBE" w:rsidP="008614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7AD"/>
    <w:multiLevelType w:val="multilevel"/>
    <w:tmpl w:val="5B067C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0E1D66"/>
    <w:multiLevelType w:val="hybridMultilevel"/>
    <w:tmpl w:val="22406804"/>
    <w:lvl w:ilvl="0" w:tplc="660095C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47F89"/>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6D675E"/>
    <w:multiLevelType w:val="multilevel"/>
    <w:tmpl w:val="1B98D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CD4BF7"/>
    <w:multiLevelType w:val="hybridMultilevel"/>
    <w:tmpl w:val="1E0E6A28"/>
    <w:lvl w:ilvl="0" w:tplc="890E7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07B7C"/>
    <w:multiLevelType w:val="hybridMultilevel"/>
    <w:tmpl w:val="11FA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D7256"/>
    <w:multiLevelType w:val="hybridMultilevel"/>
    <w:tmpl w:val="47200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E5E99"/>
    <w:multiLevelType w:val="multilevel"/>
    <w:tmpl w:val="1B98D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063FF1"/>
    <w:multiLevelType w:val="hybridMultilevel"/>
    <w:tmpl w:val="A76AF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63F90"/>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9B72C6"/>
    <w:multiLevelType w:val="multilevel"/>
    <w:tmpl w:val="429494F6"/>
    <w:lvl w:ilvl="0">
      <w:start w:val="1"/>
      <w:numFmt w:val="decimal"/>
      <w:lvlText w:val="%1"/>
      <w:lvlJc w:val="left"/>
      <w:pPr>
        <w:ind w:left="360" w:hanging="360"/>
      </w:pPr>
      <w:rPr>
        <w:rFonts w:hint="default"/>
      </w:rPr>
    </w:lvl>
    <w:lvl w:ilvl="1">
      <w:start w:val="2"/>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313066"/>
    <w:multiLevelType w:val="multilevel"/>
    <w:tmpl w:val="2C005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DD5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91520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6CB487C"/>
    <w:multiLevelType w:val="multilevel"/>
    <w:tmpl w:val="5B067C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B770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DC60BC"/>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56466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DEF0E8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0BB6AD9"/>
    <w:multiLevelType w:val="multilevel"/>
    <w:tmpl w:val="47282288"/>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51851DED"/>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5130A4"/>
    <w:multiLevelType w:val="hybridMultilevel"/>
    <w:tmpl w:val="7610D238"/>
    <w:lvl w:ilvl="0" w:tplc="D70EE98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E0C30"/>
    <w:multiLevelType w:val="multilevel"/>
    <w:tmpl w:val="1B98D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170D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11A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3750D"/>
    <w:multiLevelType w:val="multilevel"/>
    <w:tmpl w:val="5B067C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0CB1C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B741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D256B7"/>
    <w:multiLevelType w:val="multilevel"/>
    <w:tmpl w:val="1B98D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CA03D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B3E06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36BD7"/>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BE137C"/>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957EDE"/>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A1488C"/>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071FD8"/>
    <w:multiLevelType w:val="multilevel"/>
    <w:tmpl w:val="E154E7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43856F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1048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9811B5"/>
    <w:multiLevelType w:val="hybridMultilevel"/>
    <w:tmpl w:val="ADB8EC9A"/>
    <w:lvl w:ilvl="0" w:tplc="E65042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A71E2"/>
    <w:multiLevelType w:val="multilevel"/>
    <w:tmpl w:val="4728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7"/>
  </w:num>
  <w:num w:numId="3">
    <w:abstractNumId w:val="12"/>
  </w:num>
  <w:num w:numId="4">
    <w:abstractNumId w:val="30"/>
  </w:num>
  <w:num w:numId="5">
    <w:abstractNumId w:val="36"/>
  </w:num>
  <w:num w:numId="6">
    <w:abstractNumId w:val="29"/>
  </w:num>
  <w:num w:numId="7">
    <w:abstractNumId w:val="24"/>
  </w:num>
  <w:num w:numId="8">
    <w:abstractNumId w:val="17"/>
  </w:num>
  <w:num w:numId="9">
    <w:abstractNumId w:val="18"/>
  </w:num>
  <w:num w:numId="10">
    <w:abstractNumId w:val="32"/>
  </w:num>
  <w:num w:numId="11">
    <w:abstractNumId w:val="31"/>
  </w:num>
  <w:num w:numId="12">
    <w:abstractNumId w:val="33"/>
  </w:num>
  <w:num w:numId="13">
    <w:abstractNumId w:val="15"/>
  </w:num>
  <w:num w:numId="14">
    <w:abstractNumId w:val="13"/>
  </w:num>
  <w:num w:numId="15">
    <w:abstractNumId w:val="10"/>
  </w:num>
  <w:num w:numId="16">
    <w:abstractNumId w:val="20"/>
  </w:num>
  <w:num w:numId="17">
    <w:abstractNumId w:val="11"/>
  </w:num>
  <w:num w:numId="18">
    <w:abstractNumId w:val="25"/>
  </w:num>
  <w:num w:numId="19">
    <w:abstractNumId w:val="14"/>
  </w:num>
  <w:num w:numId="20">
    <w:abstractNumId w:val="0"/>
  </w:num>
  <w:num w:numId="21">
    <w:abstractNumId w:val="9"/>
  </w:num>
  <w:num w:numId="22">
    <w:abstractNumId w:val="39"/>
  </w:num>
  <w:num w:numId="23">
    <w:abstractNumId w:val="1"/>
  </w:num>
  <w:num w:numId="24">
    <w:abstractNumId w:val="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num>
  <w:num w:numId="28">
    <w:abstractNumId w:val="21"/>
  </w:num>
  <w:num w:numId="29">
    <w:abstractNumId w:val="23"/>
  </w:num>
  <w:num w:numId="30">
    <w:abstractNumId w:val="3"/>
  </w:num>
  <w:num w:numId="31">
    <w:abstractNumId w:val="7"/>
  </w:num>
  <w:num w:numId="32">
    <w:abstractNumId w:val="28"/>
  </w:num>
  <w:num w:numId="33">
    <w:abstractNumId w:val="26"/>
  </w:num>
  <w:num w:numId="34">
    <w:abstractNumId w:val="22"/>
  </w:num>
  <w:num w:numId="35">
    <w:abstractNumId w:val="19"/>
  </w:num>
  <w:num w:numId="36">
    <w:abstractNumId w:val="16"/>
  </w:num>
  <w:num w:numId="37">
    <w:abstractNumId w:val="2"/>
  </w:num>
  <w:num w:numId="38">
    <w:abstractNumId w:val="34"/>
  </w:num>
  <w:num w:numId="39">
    <w:abstractNumId w:val="38"/>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E"/>
    <w:rsid w:val="00015074"/>
    <w:rsid w:val="000349F2"/>
    <w:rsid w:val="00057FE3"/>
    <w:rsid w:val="00071D7C"/>
    <w:rsid w:val="0009294C"/>
    <w:rsid w:val="00095C4F"/>
    <w:rsid w:val="000A3E95"/>
    <w:rsid w:val="000B5182"/>
    <w:rsid w:val="000E2CFA"/>
    <w:rsid w:val="000E615B"/>
    <w:rsid w:val="00103344"/>
    <w:rsid w:val="0013738B"/>
    <w:rsid w:val="00167653"/>
    <w:rsid w:val="00182A36"/>
    <w:rsid w:val="00197DEE"/>
    <w:rsid w:val="001A69B2"/>
    <w:rsid w:val="001B76F2"/>
    <w:rsid w:val="001D6025"/>
    <w:rsid w:val="001F14F7"/>
    <w:rsid w:val="001F7323"/>
    <w:rsid w:val="00224F95"/>
    <w:rsid w:val="00234DE3"/>
    <w:rsid w:val="00274BF1"/>
    <w:rsid w:val="002A3D85"/>
    <w:rsid w:val="002E2C36"/>
    <w:rsid w:val="002F5CFC"/>
    <w:rsid w:val="003020AE"/>
    <w:rsid w:val="00312E8B"/>
    <w:rsid w:val="003419F5"/>
    <w:rsid w:val="00383710"/>
    <w:rsid w:val="00393BAC"/>
    <w:rsid w:val="003A3615"/>
    <w:rsid w:val="003A67F5"/>
    <w:rsid w:val="003D28A8"/>
    <w:rsid w:val="00402EDF"/>
    <w:rsid w:val="00436B8A"/>
    <w:rsid w:val="0047152E"/>
    <w:rsid w:val="004755FD"/>
    <w:rsid w:val="004819D7"/>
    <w:rsid w:val="004955A1"/>
    <w:rsid w:val="004E37DF"/>
    <w:rsid w:val="005111BA"/>
    <w:rsid w:val="00542B5E"/>
    <w:rsid w:val="005759D4"/>
    <w:rsid w:val="005B2228"/>
    <w:rsid w:val="005C2D3D"/>
    <w:rsid w:val="005F5CEC"/>
    <w:rsid w:val="00604051"/>
    <w:rsid w:val="006452C3"/>
    <w:rsid w:val="00650B62"/>
    <w:rsid w:val="00683605"/>
    <w:rsid w:val="00691042"/>
    <w:rsid w:val="006B01B4"/>
    <w:rsid w:val="006B658B"/>
    <w:rsid w:val="006C5266"/>
    <w:rsid w:val="006E04A4"/>
    <w:rsid w:val="00701FB3"/>
    <w:rsid w:val="00730253"/>
    <w:rsid w:val="00734B65"/>
    <w:rsid w:val="00751415"/>
    <w:rsid w:val="00762F17"/>
    <w:rsid w:val="00773AA6"/>
    <w:rsid w:val="007B3281"/>
    <w:rsid w:val="007E3A3E"/>
    <w:rsid w:val="008614FF"/>
    <w:rsid w:val="008745FE"/>
    <w:rsid w:val="008C35AD"/>
    <w:rsid w:val="008E701E"/>
    <w:rsid w:val="00923617"/>
    <w:rsid w:val="009F3B98"/>
    <w:rsid w:val="00A262E9"/>
    <w:rsid w:val="00A60AC4"/>
    <w:rsid w:val="00A6509E"/>
    <w:rsid w:val="00A67A38"/>
    <w:rsid w:val="00A81674"/>
    <w:rsid w:val="00AB5BBE"/>
    <w:rsid w:val="00AC4B2C"/>
    <w:rsid w:val="00AC6B7D"/>
    <w:rsid w:val="00B07FEF"/>
    <w:rsid w:val="00B914D5"/>
    <w:rsid w:val="00BA1EE0"/>
    <w:rsid w:val="00BC15CE"/>
    <w:rsid w:val="00BE53E1"/>
    <w:rsid w:val="00BF467C"/>
    <w:rsid w:val="00C5224C"/>
    <w:rsid w:val="00C52442"/>
    <w:rsid w:val="00C63F73"/>
    <w:rsid w:val="00C71E7C"/>
    <w:rsid w:val="00C7560E"/>
    <w:rsid w:val="00CB2D5B"/>
    <w:rsid w:val="00CC1AF9"/>
    <w:rsid w:val="00CC65DC"/>
    <w:rsid w:val="00CD7802"/>
    <w:rsid w:val="00CF5AFF"/>
    <w:rsid w:val="00D25449"/>
    <w:rsid w:val="00D67DEB"/>
    <w:rsid w:val="00D73F0B"/>
    <w:rsid w:val="00DB2475"/>
    <w:rsid w:val="00DD650E"/>
    <w:rsid w:val="00DE4CE8"/>
    <w:rsid w:val="00DF3BA3"/>
    <w:rsid w:val="00E06E3F"/>
    <w:rsid w:val="00E2473F"/>
    <w:rsid w:val="00E47926"/>
    <w:rsid w:val="00E509E9"/>
    <w:rsid w:val="00E754FC"/>
    <w:rsid w:val="00EB5797"/>
    <w:rsid w:val="00EF198D"/>
    <w:rsid w:val="00EF2D48"/>
    <w:rsid w:val="00EF4324"/>
    <w:rsid w:val="00F46D5F"/>
    <w:rsid w:val="00F53103"/>
    <w:rsid w:val="00F7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D35766"/>
  <w15:chartTrackingRefBased/>
  <w15:docId w15:val="{FF551E1E-C977-476E-B033-358492A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FF"/>
    <w:pPr>
      <w:spacing w:after="240" w:line="240" w:lineRule="auto"/>
      <w:ind w:left="851" w:hanging="851"/>
    </w:pPr>
    <w:rPr>
      <w:rFonts w:ascii="Arial" w:hAnsi="Arial" w:cs="Arial"/>
      <w:sz w:val="24"/>
      <w:szCs w:val="24"/>
    </w:rPr>
  </w:style>
  <w:style w:type="paragraph" w:styleId="Heading1">
    <w:name w:val="heading 1"/>
    <w:basedOn w:val="Normal"/>
    <w:next w:val="Normal"/>
    <w:link w:val="Heading1Char"/>
    <w:uiPriority w:val="9"/>
    <w:qFormat/>
    <w:rsid w:val="00182A36"/>
    <w:pPr>
      <w:keepNext/>
      <w:keepLines/>
      <w:numPr>
        <w:numId w:val="28"/>
      </w:numPr>
      <w:tabs>
        <w:tab w:val="left" w:pos="454"/>
      </w:tabs>
      <w:spacing w:before="240" w:after="120"/>
      <w:ind w:left="0" w:firstLine="0"/>
      <w:outlineLvl w:val="0"/>
    </w:pPr>
    <w:rPr>
      <w:rFonts w:eastAsiaTheme="majorEastAsia"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CD7802"/>
    <w:pPr>
      <w:keepNext/>
      <w:keepLines/>
      <w:numPr>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738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AE"/>
    <w:pPr>
      <w:ind w:left="720"/>
      <w:contextualSpacing/>
    </w:pPr>
  </w:style>
  <w:style w:type="character" w:customStyle="1" w:styleId="Heading1Char">
    <w:name w:val="Heading 1 Char"/>
    <w:basedOn w:val="DefaultParagraphFont"/>
    <w:link w:val="Heading1"/>
    <w:uiPriority w:val="9"/>
    <w:rsid w:val="00182A36"/>
    <w:rPr>
      <w:rFonts w:ascii="Arial" w:eastAsiaTheme="majorEastAsia" w:hAnsi="Arial" w:cstheme="majorBidi"/>
      <w:b/>
      <w:color w:val="2E74B5" w:themeColor="accent1" w:themeShade="BF"/>
      <w:sz w:val="26"/>
      <w:szCs w:val="32"/>
    </w:rPr>
  </w:style>
  <w:style w:type="character" w:customStyle="1" w:styleId="Heading2Char">
    <w:name w:val="Heading 2 Char"/>
    <w:basedOn w:val="DefaultParagraphFont"/>
    <w:link w:val="Heading2"/>
    <w:uiPriority w:val="9"/>
    <w:rsid w:val="00CD78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738B"/>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har"/>
    <w:rsid w:val="0047152E"/>
  </w:style>
  <w:style w:type="paragraph" w:styleId="Title">
    <w:name w:val="Title"/>
    <w:basedOn w:val="Normal"/>
    <w:next w:val="Normal"/>
    <w:link w:val="TitleChar"/>
    <w:uiPriority w:val="10"/>
    <w:qFormat/>
    <w:rsid w:val="00C5224C"/>
    <w:pPr>
      <w:spacing w:after="0"/>
      <w:contextualSpacing/>
    </w:pPr>
    <w:rPr>
      <w:rFonts w:eastAsiaTheme="majorEastAsia" w:cstheme="majorBidi"/>
      <w:b/>
      <w:color w:val="1F4E79" w:themeColor="accent1" w:themeShade="80"/>
      <w:spacing w:val="-10"/>
      <w:kern w:val="28"/>
      <w:sz w:val="36"/>
      <w:szCs w:val="56"/>
    </w:rPr>
  </w:style>
  <w:style w:type="character" w:customStyle="1" w:styleId="Style1Char">
    <w:name w:val="Style1 Char"/>
    <w:basedOn w:val="DefaultParagraphFont"/>
    <w:link w:val="Style1"/>
    <w:rsid w:val="0047152E"/>
  </w:style>
  <w:style w:type="character" w:customStyle="1" w:styleId="TitleChar">
    <w:name w:val="Title Char"/>
    <w:basedOn w:val="DefaultParagraphFont"/>
    <w:link w:val="Title"/>
    <w:uiPriority w:val="10"/>
    <w:rsid w:val="00C5224C"/>
    <w:rPr>
      <w:rFonts w:ascii="Arial" w:eastAsiaTheme="majorEastAsia" w:hAnsi="Arial" w:cstheme="majorBidi"/>
      <w:b/>
      <w:color w:val="1F4E79" w:themeColor="accent1" w:themeShade="80"/>
      <w:spacing w:val="-10"/>
      <w:kern w:val="28"/>
      <w:sz w:val="36"/>
      <w:szCs w:val="56"/>
    </w:rPr>
  </w:style>
  <w:style w:type="paragraph" w:styleId="Header">
    <w:name w:val="header"/>
    <w:basedOn w:val="Normal"/>
    <w:link w:val="HeaderChar"/>
    <w:uiPriority w:val="99"/>
    <w:unhideWhenUsed/>
    <w:rsid w:val="00274BF1"/>
    <w:pPr>
      <w:tabs>
        <w:tab w:val="center" w:pos="4513"/>
        <w:tab w:val="right" w:pos="9026"/>
      </w:tabs>
      <w:spacing w:after="0"/>
    </w:pPr>
  </w:style>
  <w:style w:type="character" w:customStyle="1" w:styleId="HeaderChar">
    <w:name w:val="Header Char"/>
    <w:basedOn w:val="DefaultParagraphFont"/>
    <w:link w:val="Header"/>
    <w:uiPriority w:val="99"/>
    <w:rsid w:val="00274BF1"/>
  </w:style>
  <w:style w:type="paragraph" w:styleId="Footer">
    <w:name w:val="footer"/>
    <w:basedOn w:val="Normal"/>
    <w:link w:val="FooterChar"/>
    <w:uiPriority w:val="99"/>
    <w:unhideWhenUsed/>
    <w:rsid w:val="00274BF1"/>
    <w:pPr>
      <w:tabs>
        <w:tab w:val="center" w:pos="4513"/>
        <w:tab w:val="right" w:pos="9026"/>
      </w:tabs>
      <w:spacing w:after="0"/>
    </w:pPr>
  </w:style>
  <w:style w:type="character" w:customStyle="1" w:styleId="FooterChar">
    <w:name w:val="Footer Char"/>
    <w:basedOn w:val="DefaultParagraphFont"/>
    <w:link w:val="Footer"/>
    <w:uiPriority w:val="99"/>
    <w:rsid w:val="00274BF1"/>
  </w:style>
  <w:style w:type="character" w:styleId="CommentReference">
    <w:name w:val="annotation reference"/>
    <w:basedOn w:val="DefaultParagraphFont"/>
    <w:uiPriority w:val="99"/>
    <w:semiHidden/>
    <w:unhideWhenUsed/>
    <w:rsid w:val="00A6509E"/>
    <w:rPr>
      <w:sz w:val="16"/>
      <w:szCs w:val="16"/>
    </w:rPr>
  </w:style>
  <w:style w:type="paragraph" w:styleId="CommentText">
    <w:name w:val="annotation text"/>
    <w:basedOn w:val="Normal"/>
    <w:link w:val="CommentTextChar"/>
    <w:uiPriority w:val="99"/>
    <w:unhideWhenUsed/>
    <w:rsid w:val="00A6509E"/>
    <w:rPr>
      <w:sz w:val="20"/>
      <w:szCs w:val="20"/>
    </w:rPr>
  </w:style>
  <w:style w:type="character" w:customStyle="1" w:styleId="CommentTextChar">
    <w:name w:val="Comment Text Char"/>
    <w:basedOn w:val="DefaultParagraphFont"/>
    <w:link w:val="CommentText"/>
    <w:uiPriority w:val="99"/>
    <w:rsid w:val="00A6509E"/>
    <w:rPr>
      <w:sz w:val="20"/>
      <w:szCs w:val="20"/>
    </w:rPr>
  </w:style>
  <w:style w:type="paragraph" w:styleId="CommentSubject">
    <w:name w:val="annotation subject"/>
    <w:basedOn w:val="CommentText"/>
    <w:next w:val="CommentText"/>
    <w:link w:val="CommentSubjectChar"/>
    <w:uiPriority w:val="99"/>
    <w:semiHidden/>
    <w:unhideWhenUsed/>
    <w:rsid w:val="00A6509E"/>
    <w:rPr>
      <w:b/>
      <w:bCs/>
    </w:rPr>
  </w:style>
  <w:style w:type="character" w:customStyle="1" w:styleId="CommentSubjectChar">
    <w:name w:val="Comment Subject Char"/>
    <w:basedOn w:val="CommentTextChar"/>
    <w:link w:val="CommentSubject"/>
    <w:uiPriority w:val="99"/>
    <w:semiHidden/>
    <w:rsid w:val="00A6509E"/>
    <w:rPr>
      <w:b/>
      <w:bCs/>
      <w:sz w:val="20"/>
      <w:szCs w:val="20"/>
    </w:rPr>
  </w:style>
  <w:style w:type="paragraph" w:styleId="BalloonText">
    <w:name w:val="Balloon Text"/>
    <w:basedOn w:val="Normal"/>
    <w:link w:val="BalloonTextChar"/>
    <w:uiPriority w:val="99"/>
    <w:semiHidden/>
    <w:unhideWhenUsed/>
    <w:rsid w:val="00A650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9E"/>
    <w:rPr>
      <w:rFonts w:ascii="Segoe UI" w:hAnsi="Segoe UI" w:cs="Segoe UI"/>
      <w:sz w:val="18"/>
      <w:szCs w:val="18"/>
    </w:rPr>
  </w:style>
  <w:style w:type="paragraph" w:customStyle="1" w:styleId="Default">
    <w:name w:val="Default"/>
    <w:rsid w:val="00E754F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5224C"/>
    <w:pPr>
      <w:numPr>
        <w:ilvl w:val="1"/>
      </w:numPr>
      <w:spacing w:before="240" w:after="120"/>
      <w:ind w:left="851" w:hanging="851"/>
    </w:pPr>
    <w:rPr>
      <w:rFonts w:eastAsiaTheme="minorEastAsia"/>
      <w:b/>
      <w:color w:val="2E74B5" w:themeColor="accent1" w:themeShade="BF"/>
      <w:spacing w:val="15"/>
      <w:sz w:val="28"/>
    </w:rPr>
  </w:style>
  <w:style w:type="character" w:customStyle="1" w:styleId="SubtitleChar">
    <w:name w:val="Subtitle Char"/>
    <w:basedOn w:val="DefaultParagraphFont"/>
    <w:link w:val="Subtitle"/>
    <w:uiPriority w:val="11"/>
    <w:rsid w:val="00C5224C"/>
    <w:rPr>
      <w:rFonts w:ascii="Arial" w:eastAsiaTheme="minorEastAsia" w:hAnsi="Arial"/>
      <w:b/>
      <w:color w:val="2E74B5" w:themeColor="accent1" w:themeShade="BF"/>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02954">
      <w:bodyDiv w:val="1"/>
      <w:marLeft w:val="0"/>
      <w:marRight w:val="0"/>
      <w:marTop w:val="0"/>
      <w:marBottom w:val="0"/>
      <w:divBdr>
        <w:top w:val="none" w:sz="0" w:space="0" w:color="auto"/>
        <w:left w:val="none" w:sz="0" w:space="0" w:color="auto"/>
        <w:bottom w:val="none" w:sz="0" w:space="0" w:color="auto"/>
        <w:right w:val="none" w:sz="0" w:space="0" w:color="auto"/>
      </w:divBdr>
    </w:div>
    <w:div w:id="1222181174">
      <w:bodyDiv w:val="1"/>
      <w:marLeft w:val="0"/>
      <w:marRight w:val="0"/>
      <w:marTop w:val="0"/>
      <w:marBottom w:val="0"/>
      <w:divBdr>
        <w:top w:val="none" w:sz="0" w:space="0" w:color="auto"/>
        <w:left w:val="none" w:sz="0" w:space="0" w:color="auto"/>
        <w:bottom w:val="none" w:sz="0" w:space="0" w:color="auto"/>
        <w:right w:val="none" w:sz="0" w:space="0" w:color="auto"/>
      </w:divBdr>
      <w:divsChild>
        <w:div w:id="1532524874">
          <w:marLeft w:val="547"/>
          <w:marRight w:val="0"/>
          <w:marTop w:val="0"/>
          <w:marBottom w:val="0"/>
          <w:divBdr>
            <w:top w:val="none" w:sz="0" w:space="0" w:color="auto"/>
            <w:left w:val="none" w:sz="0" w:space="0" w:color="auto"/>
            <w:bottom w:val="none" w:sz="0" w:space="0" w:color="auto"/>
            <w:right w:val="none" w:sz="0" w:space="0" w:color="auto"/>
          </w:divBdr>
        </w:div>
      </w:divsChild>
    </w:div>
    <w:div w:id="1355352052">
      <w:bodyDiv w:val="1"/>
      <w:marLeft w:val="0"/>
      <w:marRight w:val="0"/>
      <w:marTop w:val="0"/>
      <w:marBottom w:val="0"/>
      <w:divBdr>
        <w:top w:val="none" w:sz="0" w:space="0" w:color="auto"/>
        <w:left w:val="none" w:sz="0" w:space="0" w:color="auto"/>
        <w:bottom w:val="none" w:sz="0" w:space="0" w:color="auto"/>
        <w:right w:val="none" w:sz="0" w:space="0" w:color="auto"/>
      </w:divBdr>
      <w:divsChild>
        <w:div w:id="1737362698">
          <w:marLeft w:val="547"/>
          <w:marRight w:val="0"/>
          <w:marTop w:val="0"/>
          <w:marBottom w:val="0"/>
          <w:divBdr>
            <w:top w:val="none" w:sz="0" w:space="0" w:color="auto"/>
            <w:left w:val="none" w:sz="0" w:space="0" w:color="auto"/>
            <w:bottom w:val="none" w:sz="0" w:space="0" w:color="auto"/>
            <w:right w:val="none" w:sz="0" w:space="0" w:color="auto"/>
          </w:divBdr>
        </w:div>
      </w:divsChild>
    </w:div>
    <w:div w:id="2097509305">
      <w:bodyDiv w:val="1"/>
      <w:marLeft w:val="0"/>
      <w:marRight w:val="0"/>
      <w:marTop w:val="0"/>
      <w:marBottom w:val="0"/>
      <w:divBdr>
        <w:top w:val="none" w:sz="0" w:space="0" w:color="auto"/>
        <w:left w:val="none" w:sz="0" w:space="0" w:color="auto"/>
        <w:bottom w:val="none" w:sz="0" w:space="0" w:color="auto"/>
        <w:right w:val="none" w:sz="0" w:space="0" w:color="auto"/>
      </w:divBdr>
      <w:divsChild>
        <w:div w:id="1091044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3" ma:contentTypeDescription="Create a new document." ma:contentTypeScope="" ma:versionID="2df3ebfb0d3fe5186ac7720f8fc2be68">
  <xsd:schema xmlns:xsd="http://www.w3.org/2001/XMLSchema" xmlns:xs="http://www.w3.org/2001/XMLSchema" xmlns:p="http://schemas.microsoft.com/office/2006/metadata/properties" xmlns:ns3="7dfb703d-c66f-4e11-af73-ec7321244159" xmlns:ns4="8931870e-3f5a-430d-b2a8-6f4cc460a866" targetNamespace="http://schemas.microsoft.com/office/2006/metadata/properties" ma:root="true" ma:fieldsID="2682edcc28686f21aac9e2ce28a79375" ns3:_="" ns4:_="">
    <xsd:import namespace="7dfb703d-c66f-4e11-af73-ec7321244159"/>
    <xsd:import namespace="8931870e-3f5a-430d-b2a8-6f4cc460a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870e-3f5a-430d-b2a8-6f4cc460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C065-946A-4490-95D8-0C5D4162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8931870e-3f5a-430d-b2a8-6f4cc460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E99B9-1973-4E3C-9B32-68867360803D}">
  <ds:schemaRefs>
    <ds:schemaRef ds:uri="http://schemas.microsoft.com/office/2006/documentManagement/types"/>
    <ds:schemaRef ds:uri="8931870e-3f5a-430d-b2a8-6f4cc460a866"/>
    <ds:schemaRef ds:uri="http://purl.org/dc/elements/1.1/"/>
    <ds:schemaRef ds:uri="http://schemas.microsoft.com/office/2006/metadata/properties"/>
    <ds:schemaRef ds:uri="7dfb703d-c66f-4e11-af73-ec732124415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D61D71-1ED1-4BC0-8937-BD33665F021D}">
  <ds:schemaRefs>
    <ds:schemaRef ds:uri="http://schemas.microsoft.com/sharepoint/v3/contenttype/forms"/>
  </ds:schemaRefs>
</ds:datastoreItem>
</file>

<file path=customXml/itemProps4.xml><?xml version="1.0" encoding="utf-8"?>
<ds:datastoreItem xmlns:ds="http://schemas.openxmlformats.org/officeDocument/2006/customXml" ds:itemID="{78E99AEB-3AD2-4F04-BDD7-983BE9EA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E631D89F</Template>
  <TotalTime>0</TotalTime>
  <Pages>4</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Angela</dc:creator>
  <cp:keywords/>
  <dc:description/>
  <cp:lastModifiedBy>TYRELL Lucy</cp:lastModifiedBy>
  <cp:revision>2</cp:revision>
  <dcterms:created xsi:type="dcterms:W3CDTF">2023-01-18T17:28:00Z</dcterms:created>
  <dcterms:modified xsi:type="dcterms:W3CDTF">2023-01-18T17:28:00Z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